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Helvetica Neue" w:cs="Helvetica Neue" w:eastAsia="Helvetica Neue" w:hAnsi="Helvetica Neue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9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3630"/>
        <w:gridCol w:w="3630"/>
        <w:tblGridChange w:id="0">
          <w:tblGrid>
            <w:gridCol w:w="3630"/>
            <w:gridCol w:w="3630"/>
            <w:gridCol w:w="363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Helvetica Neue" w:cs="Helvetica Neue" w:eastAsia="Helvetica Neue" w:hAnsi="Helvetica Neue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Helvetica Neue" w:cs="Helvetica Neue" w:eastAsia="Helvetica Neue" w:hAnsi="Helvetica Neue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cc0000"/>
                <w:sz w:val="24"/>
                <w:szCs w:val="24"/>
                <w:rtl w:val="0"/>
              </w:rPr>
              <w:t xml:space="preserve">Curricolo Verticale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45818e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45818e"/>
                <w:sz w:val="24"/>
                <w:szCs w:val="24"/>
                <w:highlight w:val="cyan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  <w:rtl w:val="0"/>
              </w:rPr>
              <w:t xml:space="preserve">TRAGUARDI PER LO SVILUPPO DELLE COMPETENZE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al termine della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SCUOLA DELL’INFANZIA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Il bambino vive pienamente la propria corporeità, ne percepisce il potenziale comunicativo ed espressivo, matura condotte che gli consentono una buona autonomia nella gestione della giornata a scuola.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32"/>
                <w:szCs w:val="3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Individua le posizioni di oggetti e persone nello spazio, usando termini come avanti/dietro, sopra/sotto, destra/sinistra, ecc; segue correttamente un percorso sulla base di indicazioni verbali.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al termine della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SCUOLA SCUOLA PRIMARIA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L’alunno si orienta nello spazio circostante e sulle carte geografiche, utilizzando riferimenti topologici e punti cardinali.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Utilizza il linguaggio della geo-graficità per interpretare carte geografiche e globo terrestre, realizzare semplici schizzi cartografici e carte tematiche, progettare percorsi e itinerari di viaggio.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Ricava informazioni geografiche da una pluralità di fonti (cartografiche e satellitari, tecnologie digitali, fotografiche, artistico-letterarie). Riconosce e denomina i principali “oggetti” geografici fisici (fiumi, monti, pianure, coste, colline, laghi, mari, oceani, ecc.).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Individua i caratteri che connotano i paesaggi (di montagna, collina, pianura, vulcanici, ecc.) con particolare attenzione a quelli italiani, e individua analogie e differenze con i principali paesaggi europei e di altri continenti. Coglie nei paesaggi mondiali della storia le progressive trasformazioni operate dall’uomo sul paesaggio naturale.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32"/>
                <w:szCs w:val="3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Si rende conto che lo spazio geografico è un sistema territoriale, costituito da elementi fisici e antropici legati da rapporti di connessione e/odi interdipendenza.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al termine della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SCUOLA DELLA SCUOLA SECONDARIA 1°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Lo studente si orienta nello spazio e sulle carte di diversa scala in base ai punti cardinali e alle coordinate geografiche; sa orientare una carta geografica a grande scala facendo ricorso a punti di riferimento fissi.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Utilizza opportunamente carte geografiche, fotografie attuali e d’epoca, immagini da telerilevamento, elaborazioni digitali, grafici, dati statistici, sistemi informativi geografici per comunicare efficacemente informazioni spaziali.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Riconosce nei paesaggi europei e mondiali, raffrontandoli in particolare a quelli italiani, gli elementi fisici significativi e le emergenze storiche, artistiche e architettoniche, come patrimonio naturale e culturale da tutelare e valorizzare.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32"/>
                <w:szCs w:val="3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Osserva, legge e analizza sistemi territoriali vicini e lontani, nello spazio e nel tempo e valuta gli effetti di azioni dell’uomo sui sistemi territoriali alle diverse scale geografiche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left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6"/>
          <w:szCs w:val="26"/>
          <w:rtl w:val="0"/>
        </w:rPr>
        <w:t xml:space="preserve">PROGRAMMAZIONE SCUOLA DELL’INFANZIA</w:t>
      </w:r>
    </w:p>
    <w:p w:rsidR="00000000" w:rsidDel="00000000" w:rsidP="00000000" w:rsidRDefault="00000000" w:rsidRPr="00000000" w14:paraId="0000003B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6"/>
          <w:szCs w:val="26"/>
          <w:rtl w:val="0"/>
        </w:rPr>
        <w:t xml:space="preserve">LA CONOSCENZA DEL MONDO/IL CORPO IN MOVIMENTO/TUTTI I CAMPI DI ESPERIENZA</w:t>
      </w:r>
    </w:p>
    <w:p w:rsidR="00000000" w:rsidDel="00000000" w:rsidP="00000000" w:rsidRDefault="00000000" w:rsidRPr="00000000" w14:paraId="0000003C">
      <w:pPr>
        <w:jc w:val="left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4545"/>
        <w:gridCol w:w="3225"/>
        <w:tblGridChange w:id="0">
          <w:tblGrid>
            <w:gridCol w:w="2475"/>
            <w:gridCol w:w="4545"/>
            <w:gridCol w:w="3225"/>
          </w:tblGrid>
        </w:tblGridChange>
      </w:tblGrid>
      <w:tr>
        <w:trPr>
          <w:cantSplit w:val="0"/>
          <w:trHeight w:val="13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Nuclei fondanti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Obiettivi di apprendimento al termine della scuola dell’infanzia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Progettualità (per classi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parallele) da inserire nella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programmazione annuale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ORIENTAMENTO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Esplorare e conoscere gli spazi della scuola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Eseguire semplici percorsi motori sulla base di indicazioni date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Sviluppare la capacità di orientamento spaziale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LINGUAGGIO DELLA GEO-GRAFICITÀ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Osservare ambienti conosciuti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Rappresentare, con tecniche diverse, uno spazio conosciuto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Collocare nello spazio sé stesso, oggetti e persone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Verbalizzare in maniera più adeguata le osservazioni e le esperienze spaziali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PAESAGGIO: REGIONE E SISTEMA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TERRITORIALE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Conoscere la propria realtà territoriale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Individuare i principali ambienti geografici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left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Helvetica Neue" w:cs="Helvetica Neue" w:eastAsia="Helvetica Neue" w:hAnsi="Helvetica Neue"/>
          <w:b w:val="1"/>
          <w:color w:val="1155cc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6"/>
          <w:szCs w:val="26"/>
          <w:rtl w:val="0"/>
        </w:rPr>
        <w:t xml:space="preserve">PROGRAMMAZIONE SCUOLA PRIMARIA</w:t>
      </w:r>
    </w:p>
    <w:p w:rsidR="00000000" w:rsidDel="00000000" w:rsidP="00000000" w:rsidRDefault="00000000" w:rsidRPr="00000000" w14:paraId="00000064">
      <w:pPr>
        <w:jc w:val="center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5.0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6060"/>
        <w:gridCol w:w="2490"/>
        <w:tblGridChange w:id="0">
          <w:tblGrid>
            <w:gridCol w:w="2115"/>
            <w:gridCol w:w="6060"/>
            <w:gridCol w:w="249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OBIETTIVI DI APPRENDIMENTO AL TERMINE DELLA CLASSE 1^ DELLA SCUOLA PRIMARIA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1.5327148437498" w:hRule="atLeast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ORIENTAMENTO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Individuare la posizione di elementi nello spazio utilizzando gli indicatori topologici: in alto, in basso, a destra, a sinistra, rispetto a diversi punti di vista. 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Tracciare percorsi a partire dalla loro descrizione e confrontarli.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LINGUAGGIO DELLA GEO-GRAFICITA’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Rappresentare a livello intuitivo ambienti noti (es. pianta dell'aula e di uno spazio conosciuto).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.69140625" w:hRule="atLeast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PAESAGGIO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Riconoscere lo spazio vicino attraverso l'attivazione di tutti i sistemi sensoriali (vista, udito, olfatto, gusto e tatto).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.69140625" w:hRule="atLeast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REGIONE E SISTEMA TERRITORIALE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Comprendere funzioni di spazi comuni.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Comprendere le funzioni degli spazi della scuola.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65.0" w:type="dxa"/>
        <w:jc w:val="left"/>
        <w:tblInd w:w="-7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6060"/>
        <w:gridCol w:w="2460"/>
        <w:tblGridChange w:id="0">
          <w:tblGrid>
            <w:gridCol w:w="2145"/>
            <w:gridCol w:w="6060"/>
            <w:gridCol w:w="24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OBIETTIVI DI APPRENDIMENTO AL TERMINE DELLA CLASSE 2^ DELLA SCUOLA PRIMARIA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ORIENTAMENTO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Comprendere l'importanza dei punti di riferimento per orientarsi nello spazio.  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Riconoscere la diversa funzione di spazi aperti e chiusi.  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Descrivere percorsi rappresentati graficamente o effettuati utilizzando punti di riferimento adeguati.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LINGUAGGIO DELLA GEO-GRAFICITA’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Rappresentare da diversi punti di vista oggetti e ambienti noti e tracciare percorsi effettuati nello spazio circostante.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PAESAGGIO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Osservare un paesaggio e individuarne gli elementi caratterizzanti.  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Distinguere gli elementi naturali e artificiali di un paesaggio.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REGIONE E SISTEMA TERRITORIALE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Distinguere spazi privati e spazi pubblici.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Distinguere confini naturali e artificiali.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10.0" w:type="dxa"/>
        <w:jc w:val="left"/>
        <w:tblInd w:w="-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090"/>
        <w:gridCol w:w="2490"/>
        <w:tblGridChange w:id="0">
          <w:tblGrid>
            <w:gridCol w:w="2130"/>
            <w:gridCol w:w="6090"/>
            <w:gridCol w:w="249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OBIETTIVI DI APPRENDIMENTO AL TERMINE DELLA CLASSE 3^ DELLA SCUOLA PRIMARIA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ORIENTAMENTO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Utilizzare i punti di riferimento per orientarsi nello spazio vissuto.  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Utilizzare i punti cardinali per orientarsi nello spazio.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Introduzione alla riduzione in scala.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LINGUAGGIO DELLA GEO-GRAFICITA’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Rappresentare in prospettiva verticale oggetti e ambienti noti (pianta dell'aula, ecc.) e tracciare percorsi effettuati nello spazio circostante.  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Leggere e interpretare la pianta dello spazio vicino.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PAESAGGIO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Conoscere il territorio circostante attraverso l'approccio percettivo e l'osservazione diretta.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Individuare e descrivere gli elementi fisici e antropici che caratterizzano i paesaggi dell'ambiente di vita della propria regione.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REGIONE E SISTEMA TERRITORIALE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Comprendere che il territorio è uno spazio organizzato e modificato dalle attività umane.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Conoscere il territorio circostante attraverso l'approccio percettivo e l'osservazione diretta.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0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180"/>
        <w:gridCol w:w="2355"/>
        <w:tblGridChange w:id="0">
          <w:tblGrid>
            <w:gridCol w:w="2085"/>
            <w:gridCol w:w="6180"/>
            <w:gridCol w:w="235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OBIETTIVI DI APPRENDIMENTO AL TERMINE DELLA CLASSE 4^ DELLA SCUOLA PRIMARIA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ORIENTAMENTO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Orientarsi utilizzando i punti cardinali.  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Orientarsi sulla pianta del quartiere/paese in base ai punti cardinali.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LINGUAGGIO DELLA GEO-GRAFICITA’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Localizzare su carte geografiche a diversa scala, la posizione di un territorio (paese, città, regione.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Interpretare carte geografiche di vario tipo.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PAESAGGIO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Comprendere l'importanza dei fiumi nella storia dell'uomo.  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Conoscere le caratteristiche fondamentali dei principali paesaggi italiani.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REGIONE E SISTEMA TERRITORIALE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Analizzare il territorio italiano secondo le varie accezioni del concetto di regione (regioni fisiche, climatiche, storico-culturali ecc.)  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Cogliere le relazioni tra elementi fisici e antropici dei territori rurali, industriali, urbani...  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Scoprire le risorse dei diversi sistemi territoriali.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Individuare azioni di salvaguardia del patrimonio naturale e culturale di alcuni territori italiani..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left"/>
        <w:tblInd w:w="-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165"/>
        <w:gridCol w:w="2400"/>
        <w:tblGridChange w:id="0">
          <w:tblGrid>
            <w:gridCol w:w="2055"/>
            <w:gridCol w:w="6165"/>
            <w:gridCol w:w="240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OBIETTIVI DI APPRENDIMENTO AL TERMINE DELLA CLASSE 5^ DELLA SCUOLA 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ORIENTAMENTO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Consolidare l'orientamento nello spazio e sulla carta geografica utilizzando i punti cardinali.  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Consolidare la carta mentale dell'Italia con la posizione delle diverse regioni.  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Costruirsi e/o consolidare la carta mentale dell'Italia nel bacino del Mediterraneo, in Europa e nel Mondo.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LINGUAGGIO DELLA GEO-GRAFICITA’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Interpretare carte geografiche, globo geografico, documenti iconici e dati statistici per analizzare fenomeni e problemi dell'Italia in prospettiva europea e mondiale.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Applicare le competenze acquisite per progettare sulle carte geografiche percorsi e itinerari di viaggio.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PAESAGGIO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Conoscere, descrivere e interpretare i caratteri che connotano i paesaggi d'Italia attraverso una pluralità di fonti diversificate.  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Conoscere gli effetti delle attività economiche sulle trasformazioni del paesaggio.  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Indagare le principali problematiche ambientali dell'Italia, dell'Europa e del Mondo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REGIONE E SISTEMA TERRITORIALE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Riconoscere le regioni amministrative d'Italia nei loro essenziali tratti morfologici, economici, storici, sociali, artistici.  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Analizzare i rapporti di connessione e/o interdipendenza tra elementi fisici e antropici del sistema territoriale italiano, inserito nel contesto dell'Europa e del Mondo.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left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left"/>
        <w:rPr>
          <w:rFonts w:ascii="Helvetica Neue" w:cs="Helvetica Neue" w:eastAsia="Helvetica Neue" w:hAnsi="Helvetica Neue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Helvetica Neue" w:cs="Helvetica Neue" w:eastAsia="Helvetica Neue" w:hAnsi="Helvetica Neue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rFonts w:ascii="Helvetica Neue" w:cs="Helvetica Neue" w:eastAsia="Helvetica Neue" w:hAnsi="Helvetica Neue"/>
          <w:b w:val="1"/>
          <w:color w:val="0000ff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ff"/>
          <w:sz w:val="26"/>
          <w:szCs w:val="26"/>
          <w:rtl w:val="0"/>
        </w:rPr>
        <w:t xml:space="preserve">PROGRAMMAZIONE SCUOLA SECONDARIA DI 1°</w:t>
      </w:r>
    </w:p>
    <w:p w:rsidR="00000000" w:rsidDel="00000000" w:rsidP="00000000" w:rsidRDefault="00000000" w:rsidRPr="00000000" w14:paraId="000000EF">
      <w:pPr>
        <w:rPr>
          <w:rFonts w:ascii="Helvetica Neue" w:cs="Helvetica Neue" w:eastAsia="Helvetica Neue" w:hAnsi="Helvetica Neue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165"/>
        <w:gridCol w:w="2400"/>
        <w:tblGridChange w:id="0">
          <w:tblGrid>
            <w:gridCol w:w="2055"/>
            <w:gridCol w:w="6165"/>
            <w:gridCol w:w="240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OBIETTIVI DI APPRENDIMENTO AL TERMINE DELLA CLASSE PRIMA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ORIENTAMENTO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Orientarsi sulle carte e orientare le carte a grande scala in base ai punti cardinali (anche con l’utilizzo della bussola) e a punti di riferimento fissi. 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Orientarsi nelle realtà territoriali lontane, anche attraverso l’utilizzo dei programmi multimediali di visualizzazione dall’alto.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LINGUAGGIO DELLA GEO-GRAFICITA’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3"/>
              </w:numPr>
              <w:spacing w:before="5.6109619140625" w:line="229.17727947235107" w:lineRule="auto"/>
              <w:ind w:left="720" w:right="58.0224609375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Utilizzare strumenti tradizionali (carte, grafici, dati statistici, immagini,…) e innovativi (telerilevamento e cartografia computerizzata) per comprendere e/o comunicare fatti e fenomeni territoriali.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PAESAGGIO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Conoscere alcuni caratteri dei paesaggi italiani ed europei, anche in relazione alla loro evoluzione nel tempo. 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Conoscere temi e problemi di tutela del paesaggio come patrimonio naturale e culturale e progettare azioni di valorizzazione.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REGIONE E SISTEMA TERRITORIALE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Analizzare in termini di spazio le interrelazioni tra fatti e fenomeni demografici, sociali ed economici di portata nazionale, europea e mondiale.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20.0" w:type="dxa"/>
        <w:jc w:val="left"/>
        <w:tblInd w:w="-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165"/>
        <w:gridCol w:w="2400"/>
        <w:tblGridChange w:id="0">
          <w:tblGrid>
            <w:gridCol w:w="2055"/>
            <w:gridCol w:w="6165"/>
            <w:gridCol w:w="240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OBIETTIVI DI APPRENDIMENTO AL TERMINE DELLA CLASSE SECONDA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ORIENTAMENTO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Orientarsi sulle carte e orientare le carte a grande scala in base ai punti cardinali (anche con l’utilizzo della bussola) e a punti di riferimento fissi. 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Orientarsi nelle realtà territoriali lontane, anche attraverso l’utilizzo dei programmi multimediali di visualizzazione dall’alto.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LINGUAGGIO DELLA GEO-GRAFICITA’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3"/>
              </w:numPr>
              <w:spacing w:before="5.6109619140625" w:line="229.17727947235107" w:lineRule="auto"/>
              <w:ind w:left="720" w:right="58.0224609375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Utilizzare strumenti tradizionali (carte, grafici, dati statistici, immagini,…) e innovativi (telerilevamento e cartografia computerizzata) per comprendere fatti e fenomeni territoriali.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PAESAGGIO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Conoscere alcuni caratteri dei paesaggi europei, anche in relazione alla loro evoluzione nel tempo. 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Conoscere temi e problemi di tutela del paesaggio come patrimonio naturale e culturale e progettare azioni di valorizzazione.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REGIONE E SISTEMA TERRITORIALE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Consolidare il concetto di cittadinanza europea; conoscere le principali istituzioni e ruoli dell'U.E.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Analizzare in termini di spazio le interrelazioni tra fatti e fenomeni demografici, sociali ed economici di portata nazionale, europea e mondiale.</w:t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Utilizzare modelli interpretativi di assetti territoriali dei principali Paesi europei, anche in relazione alla loro evoluzione storico- politico-economica.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20.0" w:type="dxa"/>
        <w:jc w:val="left"/>
        <w:tblInd w:w="-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165"/>
        <w:gridCol w:w="2400"/>
        <w:tblGridChange w:id="0">
          <w:tblGrid>
            <w:gridCol w:w="2055"/>
            <w:gridCol w:w="6165"/>
            <w:gridCol w:w="240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OBIETTIVI DI APPRENDIMENTO AL TERMINE DELLA CLASSE TERZA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Progettualità (per classi parallele)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Helvetica Neue" w:cs="Helvetica Neue" w:eastAsia="Helvetica Neue" w:hAnsi="Helvetica Neu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2"/>
                <w:szCs w:val="12"/>
                <w:highlight w:val="cyan"/>
                <w:rtl w:val="0"/>
              </w:rPr>
              <w:t xml:space="preserve">da inserire nella programmazione annuale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ORIENTAMENTO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Orientarsi sulle carte e orientare le carte a grande scala in base ai punti cardinali (anche con l’utilizzo della bussola) e a punti di riferimento fissi. </w:t>
            </w:r>
          </w:p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Orientarsi nelle realtà territoriali lontane, anche attraverso l’utilizzo dei programmi multimediali di visualizzazione dall’alto.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LINGUAGGIO DELLA GEO-GRAFICITA’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numPr>
                <w:ilvl w:val="0"/>
                <w:numId w:val="3"/>
              </w:numPr>
              <w:spacing w:before="5.6109619140625" w:line="229.17727947235107" w:lineRule="auto"/>
              <w:ind w:left="720" w:right="58.0224609375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Utilizzare strumenti tradizionali (carte, grafici, dati statistici, immagini,…) e innovativi (telerilevamento e cartografia computerizzata) per comprendere fatti e fenomeni territoriali.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PAESAGGIO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Conoscere alcuni caratteri dei paesaggi europei, anche in relazione alla loro evoluzione nel tempo. </w:t>
            </w:r>
          </w:p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Conoscere temi e problemi di tutela del paesaggio come patrimonio naturale e culturale e progettare azioni di valorizzazione.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REGIONE E SISTEMA TERRITORIALE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Analizzare in termini di spazio le interrelazioni tra fatti e fenomeni demografici, sociali ed economici di portata nazionale, europea e mondiale. </w:t>
            </w:r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Utilizzare modelli interpretativi di assetti territoriali dei principali Paesi extraeuropei, anche in relazione alla loro evoluzione storico- politico-economica.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